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42338F60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>PYREX</w:t>
      </w:r>
      <w:r w:rsidR="00F067BD">
        <w:rPr>
          <w:rFonts w:ascii="Arial" w:hAnsi="Arial" w:cs="Arial"/>
          <w:b/>
          <w:bCs/>
          <w:sz w:val="20"/>
          <w:szCs w:val="20"/>
        </w:rPr>
        <w:t xml:space="preserve"> </w:t>
      </w:r>
      <w:r w:rsidR="009A12AD">
        <w:rPr>
          <w:rFonts w:ascii="Arial" w:hAnsi="Arial" w:cs="Arial"/>
          <w:b/>
          <w:bCs/>
          <w:sz w:val="20"/>
          <w:szCs w:val="20"/>
        </w:rPr>
        <w:t>S</w:t>
      </w:r>
      <w:r w:rsidR="00F067BD">
        <w:rPr>
          <w:rFonts w:ascii="Arial" w:hAnsi="Arial" w:cs="Arial"/>
          <w:b/>
          <w:bCs/>
          <w:sz w:val="20"/>
          <w:szCs w:val="20"/>
        </w:rPr>
        <w:t>D</w:t>
      </w:r>
    </w:p>
    <w:p w14:paraId="29FEB8A0" w14:textId="77777777" w:rsidR="009A12AD" w:rsidRPr="009A12AD" w:rsidRDefault="009A12AD" w:rsidP="009A12AD">
      <w:pPr>
        <w:rPr>
          <w:rFonts w:ascii="Arial" w:hAnsi="Arial" w:cs="Arial"/>
          <w:b/>
          <w:bCs/>
          <w:sz w:val="20"/>
          <w:szCs w:val="20"/>
        </w:rPr>
      </w:pPr>
      <w:r w:rsidRPr="009A12AD">
        <w:rPr>
          <w:rFonts w:ascii="Arial" w:hAnsi="Arial" w:cs="Arial"/>
          <w:b/>
          <w:bCs/>
          <w:sz w:val="20"/>
          <w:szCs w:val="20"/>
        </w:rPr>
        <w:t>30.64.10-a BRANDSCHUIFDEUR</w:t>
      </w:r>
    </w:p>
    <w:p w14:paraId="2BFDA167" w14:textId="77777777" w:rsidR="009A12AD" w:rsidRP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 w:rsidRPr="009A12AD">
        <w:rPr>
          <w:rFonts w:ascii="Arial" w:hAnsi="Arial" w:cs="Arial"/>
          <w:sz w:val="20"/>
          <w:szCs w:val="20"/>
        </w:rPr>
        <w:t>Fabrikant: GNS Brinkman B.V.</w:t>
      </w:r>
    </w:p>
    <w:p w14:paraId="3C25A6A3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schuifdeur, PYREX SD</w:t>
      </w:r>
    </w:p>
    <w:p w14:paraId="0B769A3A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EI(2)60/ EI(1)60/ EI(2)90/ EI(1)90/ EW120</w:t>
      </w:r>
    </w:p>
    <w:p w14:paraId="600762D5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16677553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r</w:t>
      </w:r>
      <w:r w:rsidRPr="00282920">
        <w:rPr>
          <w:rFonts w:ascii="Arial" w:hAnsi="Arial" w:cs="Arial"/>
          <w:sz w:val="20"/>
          <w:szCs w:val="20"/>
        </w:rPr>
        <w:t>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(NEN 6075) (klasse): Sa (koude rook 20 °C)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A0CB2DE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r</w:t>
      </w:r>
      <w:r w:rsidRPr="00282920">
        <w:rPr>
          <w:rFonts w:ascii="Arial" w:hAnsi="Arial" w:cs="Arial"/>
          <w:sz w:val="20"/>
          <w:szCs w:val="20"/>
        </w:rPr>
        <w:t>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(NEN 6075) (klasse): </w:t>
      </w:r>
      <w:r>
        <w:rPr>
          <w:rFonts w:ascii="Arial" w:hAnsi="Arial" w:cs="Arial"/>
          <w:sz w:val="20"/>
          <w:szCs w:val="20"/>
        </w:rPr>
        <w:t xml:space="preserve">S200 (warme rook </w:t>
      </w:r>
      <w:r w:rsidRPr="00282920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0</w:t>
      </w:r>
      <w:r w:rsidRPr="00282920">
        <w:rPr>
          <w:rFonts w:ascii="Arial" w:hAnsi="Arial" w:cs="Arial"/>
          <w:sz w:val="20"/>
          <w:szCs w:val="20"/>
        </w:rPr>
        <w:t xml:space="preserve"> °C)</w:t>
      </w:r>
    </w:p>
    <w:p w14:paraId="7436AD96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70AE4382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6860C158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Deurblad:</w:t>
      </w:r>
    </w:p>
    <w:p w14:paraId="62E63531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type: Dubbel,- of </w:t>
      </w:r>
      <w:proofErr w:type="spellStart"/>
      <w:r>
        <w:rPr>
          <w:rFonts w:ascii="Arial" w:hAnsi="Arial" w:cs="Arial"/>
          <w:sz w:val="20"/>
          <w:szCs w:val="20"/>
        </w:rPr>
        <w:t>enkelvleugelig</w:t>
      </w:r>
      <w:proofErr w:type="spellEnd"/>
      <w:r>
        <w:rPr>
          <w:rFonts w:ascii="Arial" w:hAnsi="Arial" w:cs="Arial"/>
          <w:sz w:val="20"/>
          <w:szCs w:val="20"/>
        </w:rPr>
        <w:t xml:space="preserve"> uitgevoerd</w:t>
      </w:r>
    </w:p>
    <w:p w14:paraId="34938C0B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 Staal</w:t>
      </w:r>
    </w:p>
    <w:p w14:paraId="1B704369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kleur: In een standaard RAL kleur naar keuze</w:t>
      </w:r>
    </w:p>
    <w:p w14:paraId="3CD6DC93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Railkap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19D8CD8B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 Staal</w:t>
      </w:r>
    </w:p>
    <w:p w14:paraId="2D5214AE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kleur: In een standaard RAL kleur naar keuze</w:t>
      </w:r>
    </w:p>
    <w:p w14:paraId="40F0201E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Bediening: handmatig</w:t>
      </w:r>
    </w:p>
    <w:p w14:paraId="570CEE9F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Besturing: via rookmelders of BMC</w:t>
      </w:r>
    </w:p>
    <w:p w14:paraId="262B2DCB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Railsysteem: horizontaal schuivend</w:t>
      </w:r>
    </w:p>
    <w:p w14:paraId="61888B07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Beveiliging: </w:t>
      </w:r>
    </w:p>
    <w:p w14:paraId="4E4A73EB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snelheidsregelaar/ demper met geïntegreerde kleefmagneet</w:t>
      </w:r>
    </w:p>
    <w:p w14:paraId="194DD930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zelfsluitend door contragewicht bij spanningsval en/of stroomuitval</w:t>
      </w:r>
    </w:p>
    <w:p w14:paraId="5A91BF9B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Opties:</w:t>
      </w:r>
    </w:p>
    <w:p w14:paraId="24708DDA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voorzien van brandwerende loopdeur inclusief dranger</w:t>
      </w:r>
    </w:p>
    <w:p w14:paraId="0CFEB74B" w14:textId="77777777" w:rsidR="009A12AD" w:rsidRPr="003A3FCA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>Gecertificeerde ondergronden: Metalstud, beton, gasbeton, kalkzandsteen, staal (bekleed)</w:t>
      </w:r>
    </w:p>
    <w:p w14:paraId="22CA7C95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</w:p>
    <w:p w14:paraId="4D1A2CC8" w14:textId="77777777" w:rsidR="009A12AD" w:rsidRDefault="009A12AD" w:rsidP="009A12A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 Geschikt als inpandige wachtdeur tussen brandcompartimenten, mede PGS15 ruimtes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070004"/>
    <w:rsid w:val="00167F9D"/>
    <w:rsid w:val="00185F92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9A12AD"/>
    <w:rsid w:val="00A3091A"/>
    <w:rsid w:val="00B125AB"/>
    <w:rsid w:val="00C40FB5"/>
    <w:rsid w:val="00C501F6"/>
    <w:rsid w:val="00DF3945"/>
    <w:rsid w:val="00F045ED"/>
    <w:rsid w:val="00F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2025-07-15T10:55:00Z</dcterms:created>
  <dcterms:modified xsi:type="dcterms:W3CDTF">2025-07-15T10:55:00Z</dcterms:modified>
</cp:coreProperties>
</file>